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699787">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小标宋_GBK" w:cs="Times New Roman"/>
          <w:color w:val="000000" w:themeColor="text1"/>
          <w:sz w:val="44"/>
          <w:szCs w:val="44"/>
          <w14:textFill>
            <w14:solidFill>
              <w14:schemeClr w14:val="tx1"/>
            </w14:solidFill>
          </w14:textFill>
        </w:rPr>
        <w:t>广西勘察设计协会分支机构管理办法</w:t>
      </w:r>
      <w:bookmarkStart w:id="0" w:name="_GoBack"/>
      <w:bookmarkEnd w:id="0"/>
    </w:p>
    <w:p w14:paraId="375E3270">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p>
    <w:p w14:paraId="3C5943A0">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第一章　总　则</w:t>
      </w:r>
    </w:p>
    <w:p w14:paraId="22DB1BA4">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第一条</w:t>
      </w:r>
      <w:r>
        <w:rPr>
          <w:rFonts w:hint="default" w:ascii="Times New Roman" w:hAnsi="Times New Roman" w:eastAsia="方正仿宋_GBK" w:cs="Times New Roman"/>
          <w:color w:val="000000" w:themeColor="text1"/>
          <w:sz w:val="32"/>
          <w:szCs w:val="32"/>
          <w14:textFill>
            <w14:solidFill>
              <w14:schemeClr w14:val="tx1"/>
            </w14:solidFill>
          </w14:textFill>
        </w:rPr>
        <w:t>　为加强和规范广西勘察设计协会（以下简称协会）分支机构的管理，充分发挥分支机构的职能作用，促进分支机构组织建设和业务活动的规范化、制度化，依据《社会团体登记管理条例》、《社会团体分支机构、代表机构管理办法》（民政部令第85号）及《广西勘察设计协会章程》（以下简称《章程》），制定本办法。</w:t>
      </w:r>
    </w:p>
    <w:p w14:paraId="04E40ABC">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第二条</w:t>
      </w:r>
      <w:r>
        <w:rPr>
          <w:rFonts w:hint="default" w:ascii="Times New Roman" w:hAnsi="Times New Roman" w:eastAsia="方正仿宋_GBK" w:cs="Times New Roman"/>
          <w:color w:val="000000" w:themeColor="text1"/>
          <w:sz w:val="32"/>
          <w:szCs w:val="32"/>
          <w14:textFill>
            <w14:solidFill>
              <w14:schemeClr w14:val="tx1"/>
            </w14:solidFill>
          </w14:textFill>
        </w:rPr>
        <w:t>　协会分支机构，是指协会根据发展需要和章程规定，按照会员组成特点或者业务范围划分设立的，在协会授权范围内开展某项业务活动的机构。分支机构是协会的组成部分，不具备独立法人资格，无独立民事主体地位</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，其法律责任由协会承担</w:t>
      </w:r>
      <w:r>
        <w:rPr>
          <w:rFonts w:hint="default" w:ascii="Times New Roman" w:hAnsi="Times New Roman" w:eastAsia="方正仿宋_GBK" w:cs="Times New Roman"/>
          <w:color w:val="000000" w:themeColor="text1"/>
          <w:sz w:val="32"/>
          <w:szCs w:val="32"/>
          <w14:textFill>
            <w14:solidFill>
              <w14:schemeClr w14:val="tx1"/>
            </w14:solidFill>
          </w14:textFill>
        </w:rPr>
        <w:t>。</w:t>
      </w:r>
    </w:p>
    <w:p w14:paraId="5E9B0F7B">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第三条</w:t>
      </w:r>
      <w:r>
        <w:rPr>
          <w:rFonts w:hint="default" w:ascii="Times New Roman" w:hAnsi="Times New Roman" w:eastAsia="方正仿宋_GBK" w:cs="Times New Roman"/>
          <w:color w:val="000000" w:themeColor="text1"/>
          <w:sz w:val="32"/>
          <w:szCs w:val="32"/>
          <w14:textFill>
            <w14:solidFill>
              <w14:schemeClr w14:val="tx1"/>
            </w14:solidFill>
          </w14:textFill>
        </w:rPr>
        <w:t>　分支机构在协会的统一领导下开展工作，接受协会的直接领导与管理，对协会负责。分支机构不得再设立分支机构或代表机构。</w:t>
      </w:r>
    </w:p>
    <w:p w14:paraId="569FB89B">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第四条</w:t>
      </w:r>
      <w:r>
        <w:rPr>
          <w:rFonts w:hint="default" w:ascii="Times New Roman" w:hAnsi="Times New Roman" w:eastAsia="方正仿宋_GBK" w:cs="Times New Roman"/>
          <w:color w:val="000000" w:themeColor="text1"/>
          <w:sz w:val="32"/>
          <w:szCs w:val="32"/>
          <w14:textFill>
            <w14:solidFill>
              <w14:schemeClr w14:val="tx1"/>
            </w14:solidFill>
          </w14:textFill>
        </w:rPr>
        <w:t>　分支机构应当坚持中国共产党的全面领导，践行社会主义核心价值观，弘扬爱国主义精神，遵守法律法规、国家政策和社会道德风尚，自觉加强诚信自律建设。符合成立党组织条件的，应当根据《中国共产党章程》的规定成立党组织；不符合成立党组织条件的，应当按要求开展党的工作。协会党组织应当加强对分支机构党建工作的指导。</w:t>
      </w:r>
    </w:p>
    <w:p w14:paraId="04DB87D3">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第五条</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 xml:space="preserve">  本办法适用于协会设立的分会、专业委员会、工作委员会等各类分支机构。</w:t>
      </w:r>
    </w:p>
    <w:p w14:paraId="101CF490">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p>
    <w:p w14:paraId="115C2B39">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第二章　分支机构的设立、名称变更与撤销</w:t>
      </w:r>
    </w:p>
    <w:p w14:paraId="24E6FAAA">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w:t>
      </w: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六</w:t>
      </w:r>
      <w:r>
        <w:rPr>
          <w:rFonts w:hint="default" w:ascii="Times New Roman" w:hAnsi="Times New Roman" w:eastAsia="方正仿宋_GBK" w:cs="Times New Roman"/>
          <w:b/>
          <w:bCs/>
          <w:color w:val="000000" w:themeColor="text1"/>
          <w:sz w:val="32"/>
          <w:szCs w:val="32"/>
          <w14:textFill>
            <w14:solidFill>
              <w14:schemeClr w14:val="tx1"/>
            </w14:solidFill>
          </w14:textFill>
        </w:rPr>
        <w:t>条</w:t>
      </w:r>
      <w:r>
        <w:rPr>
          <w:rFonts w:hint="default" w:ascii="Times New Roman" w:hAnsi="Times New Roman" w:eastAsia="方正仿宋_GBK" w:cs="Times New Roman"/>
          <w:color w:val="000000" w:themeColor="text1"/>
          <w:sz w:val="32"/>
          <w:szCs w:val="32"/>
          <w14:textFill>
            <w14:solidFill>
              <w14:schemeClr w14:val="tx1"/>
            </w14:solidFill>
          </w14:textFill>
        </w:rPr>
        <w:t>　协会应当根据章程规定，按照实际需要、管理能力、统一要求等，严格控制设立分支机构。</w:t>
      </w:r>
    </w:p>
    <w:p w14:paraId="126CACE8">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w:t>
      </w: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七</w:t>
      </w:r>
      <w:r>
        <w:rPr>
          <w:rFonts w:hint="default" w:ascii="Times New Roman" w:hAnsi="Times New Roman" w:eastAsia="方正仿宋_GBK" w:cs="Times New Roman"/>
          <w:b/>
          <w:bCs/>
          <w:color w:val="000000" w:themeColor="text1"/>
          <w:sz w:val="32"/>
          <w:szCs w:val="32"/>
          <w14:textFill>
            <w14:solidFill>
              <w14:schemeClr w14:val="tx1"/>
            </w14:solidFill>
          </w14:textFill>
        </w:rPr>
        <w:t>条</w:t>
      </w:r>
      <w:r>
        <w:rPr>
          <w:rFonts w:hint="default" w:ascii="Times New Roman" w:hAnsi="Times New Roman" w:eastAsia="方正仿宋_GBK" w:cs="Times New Roman"/>
          <w:color w:val="000000" w:themeColor="text1"/>
          <w:sz w:val="32"/>
          <w:szCs w:val="32"/>
          <w14:textFill>
            <w14:solidFill>
              <w14:schemeClr w14:val="tx1"/>
            </w14:solidFill>
          </w14:textFill>
        </w:rPr>
        <w:t>　设立分支机构应当满足下列条件：</w:t>
      </w:r>
    </w:p>
    <w:p w14:paraId="405E875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（一）符合</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协会《</w:t>
      </w:r>
      <w:r>
        <w:rPr>
          <w:rFonts w:hint="default" w:ascii="Times New Roman" w:hAnsi="Times New Roman" w:eastAsia="方正仿宋_GBK" w:cs="Times New Roman"/>
          <w:color w:val="000000" w:themeColor="text1"/>
          <w:sz w:val="32"/>
          <w:szCs w:val="32"/>
          <w14:textFill>
            <w14:solidFill>
              <w14:schemeClr w14:val="tx1"/>
            </w14:solidFill>
          </w14:textFill>
        </w:rPr>
        <w:t>章程</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规定的宗旨和业务范围；</w:t>
      </w:r>
    </w:p>
    <w:p w14:paraId="684A892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（二）有规范的名称</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统一格式为</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广西勘察设计协</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会</w:t>
      </w:r>
      <w:r>
        <w:rPr>
          <w:rFonts w:hint="default" w:ascii="Times New Roman" w:hAnsi="Times New Roman" w:eastAsia="方正仿宋_GBK" w:cs="Times New Roman"/>
          <w:color w:val="000000" w:themeColor="text1"/>
          <w:sz w:val="32"/>
          <w:szCs w:val="32"/>
          <w14:textFill>
            <w14:solidFill>
              <w14:schemeClr w14:val="tx1"/>
            </w14:solidFill>
          </w14:textFill>
        </w:rPr>
        <w:t>XX专业委员会</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工作委员会</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p>
    <w:p w14:paraId="437F054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（三）有与开展活动相匹配的工作人员、办公场所等。</w:t>
      </w:r>
    </w:p>
    <w:p w14:paraId="0BB60A3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（四）分支机构应当具备专业服务能力、相关领域或者行业影响力</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行业需求明确，区内相关从业单位、技术专家基础充足，以公益技术交流、行业调研、标准宣贯</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提升技术水平</w:t>
      </w:r>
      <w:r>
        <w:rPr>
          <w:rFonts w:hint="default" w:ascii="Times New Roman" w:hAnsi="Times New Roman" w:eastAsia="方正仿宋_GBK" w:cs="Times New Roman"/>
          <w:color w:val="000000" w:themeColor="text1"/>
          <w:sz w:val="32"/>
          <w:szCs w:val="32"/>
          <w14:textFill>
            <w14:solidFill>
              <w14:schemeClr w14:val="tx1"/>
            </w14:solidFill>
          </w14:textFill>
        </w:rPr>
        <w:t>为核心职能，不以创收为设立目的</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p>
    <w:p w14:paraId="65353E13">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w:t>
      </w: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八</w:t>
      </w:r>
      <w:r>
        <w:rPr>
          <w:rFonts w:hint="default" w:ascii="Times New Roman" w:hAnsi="Times New Roman" w:eastAsia="方正仿宋_GBK" w:cs="Times New Roman"/>
          <w:b/>
          <w:bCs/>
          <w:color w:val="000000" w:themeColor="text1"/>
          <w:sz w:val="32"/>
          <w:szCs w:val="32"/>
          <w14:textFill>
            <w14:solidFill>
              <w14:schemeClr w14:val="tx1"/>
            </w14:solidFill>
          </w14:textFill>
        </w:rPr>
        <w:t>条</w:t>
      </w:r>
      <w:r>
        <w:rPr>
          <w:rFonts w:hint="default" w:ascii="Times New Roman" w:hAnsi="Times New Roman" w:eastAsia="方正仿宋_GBK" w:cs="Times New Roman"/>
          <w:color w:val="000000" w:themeColor="text1"/>
          <w:sz w:val="32"/>
          <w:szCs w:val="32"/>
          <w14:textFill>
            <w14:solidFill>
              <w14:schemeClr w14:val="tx1"/>
            </w14:solidFill>
          </w14:textFill>
        </w:rPr>
        <w:t>　协会不得设立下列分支机构：</w:t>
      </w:r>
    </w:p>
    <w:p w14:paraId="0778016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（一）地域性分支机构（按地市、片区划分分会）；</w:t>
      </w:r>
    </w:p>
    <w:p w14:paraId="3B3BBB9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（二）姓氏宗亲分支机构；</w:t>
      </w:r>
    </w:p>
    <w:p w14:paraId="248C27B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（三）会员明显重合的分支机构；</w:t>
      </w:r>
    </w:p>
    <w:p w14:paraId="081BF33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Times New Roman"/>
          <w:color w:val="000000" w:themeColor="text1"/>
          <w:sz w:val="32"/>
          <w:szCs w:val="32"/>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（四）名称、业务范围相同或者高度相似的分支机构</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p>
    <w:p w14:paraId="67A5BECB">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w:t>
      </w: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九</w:t>
      </w:r>
      <w:r>
        <w:rPr>
          <w:rFonts w:hint="default" w:ascii="Times New Roman" w:hAnsi="Times New Roman" w:eastAsia="方正仿宋_GBK" w:cs="Times New Roman"/>
          <w:b/>
          <w:bCs/>
          <w:color w:val="000000" w:themeColor="text1"/>
          <w:sz w:val="32"/>
          <w:szCs w:val="32"/>
          <w14:textFill>
            <w14:solidFill>
              <w14:schemeClr w14:val="tx1"/>
            </w14:solidFill>
          </w14:textFill>
        </w:rPr>
        <w:t>条</w:t>
      </w:r>
      <w:r>
        <w:rPr>
          <w:rFonts w:hint="default" w:ascii="Times New Roman" w:hAnsi="Times New Roman" w:eastAsia="方正仿宋_GBK" w:cs="Times New Roman"/>
          <w:color w:val="000000" w:themeColor="text1"/>
          <w:sz w:val="32"/>
          <w:szCs w:val="32"/>
          <w14:textFill>
            <w14:solidFill>
              <w14:schemeClr w14:val="tx1"/>
            </w14:solidFill>
          </w14:textFill>
        </w:rPr>
        <w:t>　分支机构的设立程序如下：</w:t>
      </w:r>
    </w:p>
    <w:p w14:paraId="3B1F018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（一）发起单位（不少于5家区内勘察设计单位联合发起）向协会秘书处提交设立申请报告及相关材料，包括拟设立分支机构的名称、活动领域、业务范围、工作任务</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以及拟任负责人（主任、副主任）简历、单位推荐意见、无违规失信承诺</w:t>
      </w:r>
      <w:r>
        <w:rPr>
          <w:rFonts w:hint="default" w:ascii="Times New Roman" w:hAnsi="Times New Roman" w:eastAsia="方正仿宋_GBK" w:cs="Times New Roman"/>
          <w:color w:val="000000" w:themeColor="text1"/>
          <w:sz w:val="32"/>
          <w:szCs w:val="32"/>
          <w14:textFill>
            <w14:solidFill>
              <w14:schemeClr w14:val="tx1"/>
            </w14:solidFill>
          </w14:textFill>
        </w:rPr>
        <w:t>等；</w:t>
      </w:r>
    </w:p>
    <w:p w14:paraId="390D328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（二）协会秘书处对设立申请进行审核</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（核查材料完整性、合规性）</w:t>
      </w:r>
      <w:r>
        <w:rPr>
          <w:rFonts w:hint="default" w:ascii="Times New Roman" w:hAnsi="Times New Roman" w:eastAsia="方正仿宋_GBK" w:cs="Times New Roman"/>
          <w:color w:val="000000" w:themeColor="text1"/>
          <w:sz w:val="32"/>
          <w:szCs w:val="32"/>
          <w14:textFill>
            <w14:solidFill>
              <w14:schemeClr w14:val="tx1"/>
            </w14:solidFill>
          </w14:textFill>
        </w:rPr>
        <w:t>，</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再</w:t>
      </w:r>
      <w:r>
        <w:rPr>
          <w:rFonts w:hint="default" w:ascii="Times New Roman" w:hAnsi="Times New Roman" w:eastAsia="方正仿宋_GBK" w:cs="Times New Roman"/>
          <w:color w:val="000000" w:themeColor="text1"/>
          <w:sz w:val="32"/>
          <w:szCs w:val="32"/>
          <w14:textFill>
            <w14:solidFill>
              <w14:schemeClr w14:val="tx1"/>
            </w14:solidFill>
          </w14:textFill>
        </w:rPr>
        <w:t>征求协会党组织意见</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，出具党建意见</w:t>
      </w:r>
      <w:r>
        <w:rPr>
          <w:rFonts w:hint="default" w:ascii="Times New Roman" w:hAnsi="Times New Roman" w:eastAsia="方正仿宋_GBK" w:cs="Times New Roman"/>
          <w:color w:val="000000" w:themeColor="text1"/>
          <w:sz w:val="32"/>
          <w:szCs w:val="32"/>
          <w14:textFill>
            <w14:solidFill>
              <w14:schemeClr w14:val="tx1"/>
            </w14:solidFill>
          </w14:textFill>
        </w:rPr>
        <w:t>；</w:t>
      </w:r>
    </w:p>
    <w:p w14:paraId="47CF2E4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（三）征得行业管理部门同意后；</w:t>
      </w:r>
    </w:p>
    <w:p w14:paraId="446F53E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（四）提交理事会（常务理事会）以无记名投票方式表决；</w:t>
      </w:r>
    </w:p>
    <w:p w14:paraId="2985DA2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（五）表决通过后向社会公开，并在完成设立事项后10个工作日内向社会公告；</w:t>
      </w:r>
    </w:p>
    <w:p w14:paraId="00A0B56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（六）协会</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应当</w:t>
      </w:r>
      <w:r>
        <w:rPr>
          <w:rFonts w:hint="default" w:ascii="Times New Roman" w:hAnsi="Times New Roman" w:eastAsia="方正仿宋_GBK" w:cs="Times New Roman"/>
          <w:color w:val="000000" w:themeColor="text1"/>
          <w:sz w:val="32"/>
          <w:szCs w:val="32"/>
          <w14:textFill>
            <w14:solidFill>
              <w14:schemeClr w14:val="tx1"/>
            </w14:solidFill>
          </w14:textFill>
        </w:rPr>
        <w:t>制作审议分支机构设立的会议纪要并妥善保存原始资料。</w:t>
      </w:r>
    </w:p>
    <w:p w14:paraId="37B4A203">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第十条</w:t>
      </w:r>
      <w:r>
        <w:rPr>
          <w:rFonts w:hint="default" w:ascii="Times New Roman" w:hAnsi="Times New Roman" w:eastAsia="方正仿宋_GBK" w:cs="Times New Roman"/>
          <w:color w:val="000000" w:themeColor="text1"/>
          <w:sz w:val="32"/>
          <w:szCs w:val="32"/>
          <w14:textFill>
            <w14:solidFill>
              <w14:schemeClr w14:val="tx1"/>
            </w14:solidFill>
          </w14:textFill>
        </w:rPr>
        <w:t>　分支机构的名称变更和撤销，应当履行协会章程规定的程序，及时报告行业管理部门，并向社会公开。协会应当在完成名称变更或撤销事项后10个工作日内向社会公告。</w:t>
      </w:r>
    </w:p>
    <w:p w14:paraId="12609835">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第十一条</w:t>
      </w:r>
      <w:r>
        <w:rPr>
          <w:rFonts w:hint="default" w:ascii="Times New Roman" w:hAnsi="Times New Roman" w:eastAsia="方正仿宋_GBK" w:cs="Times New Roman"/>
          <w:color w:val="000000" w:themeColor="text1"/>
          <w:sz w:val="32"/>
          <w:szCs w:val="32"/>
          <w14:textFill>
            <w14:solidFill>
              <w14:schemeClr w14:val="tx1"/>
            </w14:solidFill>
          </w14:textFill>
        </w:rPr>
        <w:t>　分支机构有下列情形之一的，协会应当予以撤销：</w:t>
      </w:r>
    </w:p>
    <w:p w14:paraId="109578B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（一）完成设立目标任务或者交办事项，没有继续存在必要的；</w:t>
      </w:r>
    </w:p>
    <w:p w14:paraId="55B6D64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（二）因合并或者分立需要撤销的；</w:t>
      </w:r>
    </w:p>
    <w:p w14:paraId="251E788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（三）连续2年未开展活动的；</w:t>
      </w:r>
    </w:p>
    <w:p w14:paraId="6AC7E4F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（四）拒不服从协会管理的；</w:t>
      </w:r>
    </w:p>
    <w:p w14:paraId="1D5AF9A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（五）与非法社会组织开展合作的；</w:t>
      </w:r>
    </w:p>
    <w:p w14:paraId="5DE6552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（六）违反国家有关规定造成严重影响的；</w:t>
      </w:r>
    </w:p>
    <w:p w14:paraId="0193C3D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（七）应当撤销的其他情形。</w:t>
      </w:r>
    </w:p>
    <w:p w14:paraId="47114EB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协会应当在发生或者发现上述情形后20个工作日内启动撤销程序。</w:t>
      </w:r>
    </w:p>
    <w:p w14:paraId="0592ED7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p>
    <w:p w14:paraId="266274A9">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第三章　分支机构的组织管理</w:t>
      </w:r>
    </w:p>
    <w:p w14:paraId="33905683">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第十二条</w:t>
      </w:r>
      <w:r>
        <w:rPr>
          <w:rFonts w:hint="default" w:ascii="Times New Roman" w:hAnsi="Times New Roman" w:eastAsia="方正仿宋_GBK" w:cs="Times New Roman"/>
          <w:color w:val="000000" w:themeColor="text1"/>
          <w:sz w:val="32"/>
          <w:szCs w:val="32"/>
          <w14:textFill>
            <w14:solidFill>
              <w14:schemeClr w14:val="tx1"/>
            </w14:solidFill>
          </w14:textFill>
        </w:rPr>
        <w:t>　分支机构可以设置委员会，委员会由主任委员、副主任委员、委员组成。委员会是分支机构的议事决策机构，承担决定重要事项等职责。分支机构可以设置相关办事岗位或者部门。</w:t>
      </w:r>
    </w:p>
    <w:p w14:paraId="672FCB93">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第十三条</w:t>
      </w:r>
      <w:r>
        <w:rPr>
          <w:rFonts w:hint="default" w:ascii="Times New Roman" w:hAnsi="Times New Roman" w:eastAsia="方正仿宋_GBK" w:cs="Times New Roman"/>
          <w:color w:val="000000" w:themeColor="text1"/>
          <w:sz w:val="32"/>
          <w:szCs w:val="32"/>
          <w14:textFill>
            <w14:solidFill>
              <w14:schemeClr w14:val="tx1"/>
            </w14:solidFill>
          </w14:textFill>
        </w:rPr>
        <w:t>　分支机构不得设置会员（代表）大会、理事会（常务理事会）等社会团体的组织架构。</w:t>
      </w:r>
    </w:p>
    <w:p w14:paraId="06DDCBF0">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Times New Roman" w:hAnsi="Times New Roman" w:eastAsia="方正仿宋_GBK" w:cs="Times New Roman"/>
          <w:color w:val="000000" w:themeColor="text1"/>
          <w:sz w:val="32"/>
          <w:szCs w:val="32"/>
          <w:lang w:eastAsia="zh-CN"/>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第十四条</w:t>
      </w:r>
      <w:r>
        <w:rPr>
          <w:rFonts w:hint="default" w:ascii="Times New Roman" w:hAnsi="Times New Roman" w:eastAsia="方正仿宋_GBK" w:cs="Times New Roman"/>
          <w:color w:val="000000" w:themeColor="text1"/>
          <w:sz w:val="32"/>
          <w:szCs w:val="32"/>
          <w14:textFill>
            <w14:solidFill>
              <w14:schemeClr w14:val="tx1"/>
            </w14:solidFill>
          </w14:textFill>
        </w:rPr>
        <w:t>　分支机构负责人称为主任委员、副主任委员，不得称为会长（理事长）、副会长（副理事长）、秘书长等。拟任主任委员、副主任委员</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需</w:t>
      </w:r>
      <w:r>
        <w:rPr>
          <w:rFonts w:hint="default" w:ascii="Times New Roman" w:hAnsi="Times New Roman" w:eastAsia="方正仿宋_GBK" w:cs="Times New Roman"/>
          <w:color w:val="000000" w:themeColor="text1"/>
          <w:sz w:val="32"/>
          <w:szCs w:val="32"/>
          <w14:textFill>
            <w14:solidFill>
              <w14:schemeClr w14:val="tx1"/>
            </w14:solidFill>
          </w14:textFill>
        </w:rPr>
        <w:t>具备行业权威</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无失信及违法违规记录</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p>
    <w:p w14:paraId="6F431FF8">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第十五条</w:t>
      </w:r>
      <w:r>
        <w:rPr>
          <w:rFonts w:hint="default" w:ascii="Times New Roman" w:hAnsi="Times New Roman" w:eastAsia="方正仿宋_GBK" w:cs="Times New Roman"/>
          <w:color w:val="000000" w:themeColor="text1"/>
          <w:sz w:val="32"/>
          <w:szCs w:val="32"/>
          <w14:textFill>
            <w14:solidFill>
              <w14:schemeClr w14:val="tx1"/>
            </w14:solidFill>
          </w14:textFill>
        </w:rPr>
        <w:t>　分支机构主任委员、副主任委员的产生程序如下：</w:t>
      </w:r>
    </w:p>
    <w:p w14:paraId="03E01CE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（一）由协会负责人推荐或与</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发起</w:t>
      </w:r>
      <w:r>
        <w:rPr>
          <w:rFonts w:hint="default" w:ascii="Times New Roman" w:hAnsi="Times New Roman" w:eastAsia="方正仿宋_GBK" w:cs="Times New Roman"/>
          <w:color w:val="000000" w:themeColor="text1"/>
          <w:sz w:val="32"/>
          <w:szCs w:val="32"/>
          <w14:textFill>
            <w14:solidFill>
              <w14:schemeClr w14:val="tx1"/>
            </w14:solidFill>
          </w14:textFill>
        </w:rPr>
        <w:t>单位协商后提名候选人；</w:t>
      </w:r>
    </w:p>
    <w:p w14:paraId="75FA7A0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（二）经协会秘书处考察审核；</w:t>
      </w:r>
    </w:p>
    <w:p w14:paraId="53D0239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（三）征求协会党组织意见；</w:t>
      </w:r>
    </w:p>
    <w:p w14:paraId="75DEA41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Times New Roman"/>
          <w:color w:val="000000" w:themeColor="text1"/>
          <w:sz w:val="32"/>
          <w:szCs w:val="32"/>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（四）提交理事会（常务理事会）表决通过</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p>
    <w:p w14:paraId="0CE9996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五</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召开分支机构全体成员会议选举或表决产生。</w:t>
      </w:r>
    </w:p>
    <w:p w14:paraId="07E2A6C0">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第十六条</w:t>
      </w:r>
      <w:r>
        <w:rPr>
          <w:rFonts w:hint="default" w:ascii="Times New Roman" w:hAnsi="Times New Roman" w:eastAsia="方正仿宋_GBK" w:cs="Times New Roman"/>
          <w:color w:val="000000" w:themeColor="text1"/>
          <w:sz w:val="32"/>
          <w:szCs w:val="32"/>
          <w14:textFill>
            <w14:solidFill>
              <w14:schemeClr w14:val="tx1"/>
            </w14:solidFill>
          </w14:textFill>
        </w:rPr>
        <w:t>　分支机构主任委员一般由协会理事或者秘书处相关负责人担任，不得同时担任本协会其他分支机构的主任委员。分支机构负责人的任期原则上与协会理事会任期</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相同</w:t>
      </w:r>
      <w:r>
        <w:rPr>
          <w:rFonts w:hint="default" w:ascii="Times New Roman" w:hAnsi="Times New Roman" w:eastAsia="方正仿宋_GBK" w:cs="Times New Roman"/>
          <w:color w:val="000000" w:themeColor="text1"/>
          <w:sz w:val="32"/>
          <w:szCs w:val="32"/>
          <w14:textFill>
            <w14:solidFill>
              <w14:schemeClr w14:val="tx1"/>
            </w14:solidFill>
          </w14:textFill>
        </w:rPr>
        <w:t>，每届任期不得超过两届</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，最高任职年龄不超过70周岁</w:t>
      </w:r>
      <w:r>
        <w:rPr>
          <w:rFonts w:hint="default" w:ascii="Times New Roman" w:hAnsi="Times New Roman" w:eastAsia="方正仿宋_GBK" w:cs="Times New Roman"/>
          <w:color w:val="000000" w:themeColor="text1"/>
          <w:sz w:val="32"/>
          <w:szCs w:val="32"/>
          <w14:textFill>
            <w14:solidFill>
              <w14:schemeClr w14:val="tx1"/>
            </w14:solidFill>
          </w14:textFill>
        </w:rPr>
        <w:t>。</w:t>
      </w:r>
    </w:p>
    <w:p w14:paraId="39B5199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分支机构负责人总数不得超过</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会员总</w:t>
      </w:r>
      <w:r>
        <w:rPr>
          <w:rFonts w:hint="default" w:ascii="Times New Roman" w:hAnsi="Times New Roman" w:eastAsia="方正仿宋_GBK" w:cs="Times New Roman"/>
          <w:color w:val="000000" w:themeColor="text1"/>
          <w:sz w:val="32"/>
          <w:szCs w:val="32"/>
          <w14:textFill>
            <w14:solidFill>
              <w14:schemeClr w14:val="tx1"/>
            </w14:solidFill>
          </w14:textFill>
        </w:rPr>
        <w:t>数的1/</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3</w:t>
      </w:r>
      <w:r>
        <w:rPr>
          <w:rFonts w:hint="default" w:ascii="Times New Roman" w:hAnsi="Times New Roman" w:eastAsia="方正仿宋_GBK" w:cs="Times New Roman"/>
          <w:color w:val="000000" w:themeColor="text1"/>
          <w:sz w:val="32"/>
          <w:szCs w:val="32"/>
          <w14:textFill>
            <w14:solidFill>
              <w14:schemeClr w14:val="tx1"/>
            </w14:solidFill>
          </w14:textFill>
        </w:rPr>
        <w:t>，且为奇数。建立主要负责人年度工作述职制度和德能勤绩廉评价考核制度，对连续两年评价不合格的主要负责人予以撤换。</w:t>
      </w:r>
    </w:p>
    <w:p w14:paraId="0A991DB7">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第十七条</w:t>
      </w:r>
      <w:r>
        <w:rPr>
          <w:rFonts w:hint="default" w:ascii="Times New Roman" w:hAnsi="Times New Roman" w:eastAsia="方正仿宋_GBK" w:cs="Times New Roman"/>
          <w:color w:val="000000" w:themeColor="text1"/>
          <w:sz w:val="32"/>
          <w:szCs w:val="32"/>
          <w14:textFill>
            <w14:solidFill>
              <w14:schemeClr w14:val="tx1"/>
            </w14:solidFill>
          </w14:textFill>
        </w:rPr>
        <w:t>　分支机构应当根据协会章程和本办法，制定本分支机构的《工作条例》及相应制度，经协会批准后实施。</w:t>
      </w:r>
    </w:p>
    <w:p w14:paraId="37B65599">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第十八条</w:t>
      </w:r>
      <w:r>
        <w:rPr>
          <w:rFonts w:hint="default" w:ascii="Times New Roman" w:hAnsi="Times New Roman" w:eastAsia="方正仿宋_GBK" w:cs="Times New Roman"/>
          <w:color w:val="000000" w:themeColor="text1"/>
          <w:sz w:val="32"/>
          <w:szCs w:val="32"/>
          <w14:textFill>
            <w14:solidFill>
              <w14:schemeClr w14:val="tx1"/>
            </w14:solidFill>
          </w14:textFill>
        </w:rPr>
        <w:t>　分支机构变更负责人，应当提前</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2个月</w:t>
      </w:r>
      <w:r>
        <w:rPr>
          <w:rFonts w:hint="default" w:ascii="Times New Roman" w:hAnsi="Times New Roman" w:eastAsia="方正仿宋_GBK" w:cs="Times New Roman"/>
          <w:color w:val="000000" w:themeColor="text1"/>
          <w:sz w:val="32"/>
          <w:szCs w:val="32"/>
          <w14:textFill>
            <w14:solidFill>
              <w14:schemeClr w14:val="tx1"/>
            </w14:solidFill>
          </w14:textFill>
        </w:rPr>
        <w:t>向协会秘书处提交变更申请，经协会审查批准后实施，程序参照本办法第十五条的有关规定执行</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并做好交接工作</w:t>
      </w:r>
      <w:r>
        <w:rPr>
          <w:rFonts w:hint="default" w:ascii="Times New Roman" w:hAnsi="Times New Roman" w:eastAsia="方正仿宋_GBK" w:cs="Times New Roman"/>
          <w:color w:val="000000" w:themeColor="text1"/>
          <w:sz w:val="32"/>
          <w:szCs w:val="32"/>
          <w14:textFill>
            <w14:solidFill>
              <w14:schemeClr w14:val="tx1"/>
            </w14:solidFill>
          </w14:textFill>
        </w:rPr>
        <w:t>。</w:t>
      </w:r>
    </w:p>
    <w:p w14:paraId="6AFAFB0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p>
    <w:p w14:paraId="14D99F8A">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第四章　分支机构的活动准则</w:t>
      </w:r>
    </w:p>
    <w:p w14:paraId="4F8D887E">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第十九条</w:t>
      </w:r>
      <w:r>
        <w:rPr>
          <w:rFonts w:hint="default" w:ascii="Times New Roman" w:hAnsi="Times New Roman" w:eastAsia="方正仿宋_GBK" w:cs="Times New Roman"/>
          <w:color w:val="000000" w:themeColor="text1"/>
          <w:sz w:val="32"/>
          <w:szCs w:val="32"/>
          <w14:textFill>
            <w14:solidFill>
              <w14:schemeClr w14:val="tx1"/>
            </w14:solidFill>
          </w14:textFill>
        </w:rPr>
        <w:t>　</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协会</w:t>
      </w:r>
      <w:r>
        <w:rPr>
          <w:rFonts w:hint="default" w:ascii="Times New Roman" w:hAnsi="Times New Roman" w:eastAsia="方正仿宋_GBK" w:cs="Times New Roman"/>
          <w:color w:val="000000" w:themeColor="text1"/>
          <w:sz w:val="32"/>
          <w:szCs w:val="32"/>
          <w14:textFill>
            <w14:solidFill>
              <w14:schemeClr w14:val="tx1"/>
            </w14:solidFill>
          </w14:textFill>
        </w:rPr>
        <w:t>授权分支机构开展活动，应当经理事会（常务理事会）表决通过并在会议纪要中载明</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同时应当加强对所授权事项的监督管理。</w:t>
      </w:r>
    </w:p>
    <w:p w14:paraId="0C0D761E">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第二十条</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方正仿宋_GBK" w:cs="Times New Roman"/>
          <w:color w:val="000000" w:themeColor="text1"/>
          <w:sz w:val="32"/>
          <w:szCs w:val="32"/>
          <w14:textFill>
            <w14:solidFill>
              <w14:schemeClr w14:val="tx1"/>
            </w14:solidFill>
          </w14:textFill>
        </w:rPr>
        <w:t>分支机构应当在协会授权范围内开展活动，其主要任务包括但不限于：</w:t>
      </w:r>
    </w:p>
    <w:p w14:paraId="2F824A3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（一）关注国家和广西勘察设计行业的发展，调查研究相关领域国内外的发展动态和趋势，向协会提出意见建议；</w:t>
      </w:r>
    </w:p>
    <w:p w14:paraId="443ED7D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（二）组织开展学术交流、技术研讨、考察以及专业技术培训等活动；</w:t>
      </w:r>
    </w:p>
    <w:p w14:paraId="66EA723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（三）提供技术咨询服务和信息服务；</w:t>
      </w:r>
    </w:p>
    <w:p w14:paraId="6B551F6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（四）受协会委托，参与政策研究、</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技术</w:t>
      </w:r>
      <w:r>
        <w:rPr>
          <w:rFonts w:hint="default" w:ascii="Times New Roman" w:hAnsi="Times New Roman" w:eastAsia="方正仿宋_GBK" w:cs="Times New Roman"/>
          <w:color w:val="000000" w:themeColor="text1"/>
          <w:sz w:val="32"/>
          <w:szCs w:val="32"/>
          <w14:textFill>
            <w14:solidFill>
              <w14:schemeClr w14:val="tx1"/>
            </w14:solidFill>
          </w14:textFill>
        </w:rPr>
        <w:t>标准制定，编写团体标准，编辑资料、书刊等；</w:t>
      </w:r>
    </w:p>
    <w:p w14:paraId="3641EF2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（五）推动行业诚信自律体系建设，促进本领域科学健康发展，推动技术进步、科技创新以及科技成果应用；</w:t>
      </w:r>
    </w:p>
    <w:p w14:paraId="7761F45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（六）在协会授权范围内发展会员，其发展的会员属于协会会员</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，取得的</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会费</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收入属于</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协会</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所有，</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同时</w:t>
      </w:r>
      <w:r>
        <w:rPr>
          <w:rFonts w:hint="default" w:ascii="Times New Roman" w:hAnsi="Times New Roman" w:eastAsia="方正仿宋_GBK" w:cs="Times New Roman"/>
          <w:color w:val="000000" w:themeColor="text1"/>
          <w:sz w:val="32"/>
          <w:szCs w:val="32"/>
          <w14:textFill>
            <w14:solidFill>
              <w14:schemeClr w14:val="tx1"/>
            </w14:solidFill>
          </w14:textFill>
        </w:rPr>
        <w:t>保障成员单位享受会员权利，履行会员义务；</w:t>
      </w:r>
    </w:p>
    <w:p w14:paraId="5425E18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（七）承办协会交办的其他事项。</w:t>
      </w:r>
    </w:p>
    <w:p w14:paraId="07F4F4A2">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eastAsia" w:ascii="Times New Roman" w:hAnsi="Times New Roman" w:eastAsia="方正仿宋_GBK" w:cs="Times New Roman"/>
          <w:color w:val="000000" w:themeColor="text1"/>
          <w:sz w:val="32"/>
          <w:szCs w:val="32"/>
          <w:lang w:eastAsia="zh-CN"/>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第二十</w:t>
      </w: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一</w:t>
      </w:r>
      <w:r>
        <w:rPr>
          <w:rFonts w:hint="default" w:ascii="Times New Roman" w:hAnsi="Times New Roman" w:eastAsia="方正仿宋_GBK" w:cs="Times New Roman"/>
          <w:b/>
          <w:bCs/>
          <w:color w:val="000000" w:themeColor="text1"/>
          <w:sz w:val="32"/>
          <w:szCs w:val="32"/>
          <w14:textFill>
            <w14:solidFill>
              <w14:schemeClr w14:val="tx1"/>
            </w14:solidFill>
          </w14:textFill>
        </w:rPr>
        <w:t>条</w:t>
      </w:r>
      <w:r>
        <w:rPr>
          <w:rFonts w:hint="default" w:ascii="Times New Roman" w:hAnsi="Times New Roman" w:eastAsia="方正仿宋_GBK" w:cs="Times New Roman"/>
          <w:color w:val="000000" w:themeColor="text1"/>
          <w:sz w:val="32"/>
          <w:szCs w:val="32"/>
          <w14:textFill>
            <w14:solidFill>
              <w14:schemeClr w14:val="tx1"/>
            </w14:solidFill>
          </w14:textFill>
        </w:rPr>
        <w:t>　分支机构</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开展的</w:t>
      </w:r>
      <w:r>
        <w:rPr>
          <w:rFonts w:hint="default" w:ascii="Times New Roman" w:hAnsi="Times New Roman" w:eastAsia="方正仿宋_GBK" w:cs="Times New Roman"/>
          <w:color w:val="000000" w:themeColor="text1"/>
          <w:sz w:val="32"/>
          <w:szCs w:val="32"/>
          <w14:textFill>
            <w14:solidFill>
              <w14:schemeClr w14:val="tx1"/>
            </w14:solidFill>
          </w14:textFill>
        </w:rPr>
        <w:t>所有活动</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须</w:t>
      </w:r>
      <w:r>
        <w:rPr>
          <w:rFonts w:hint="default" w:ascii="Times New Roman" w:hAnsi="Times New Roman" w:eastAsia="方正仿宋_GBK" w:cs="Times New Roman"/>
          <w:color w:val="000000" w:themeColor="text1"/>
          <w:sz w:val="32"/>
          <w:szCs w:val="32"/>
          <w14:textFill>
            <w14:solidFill>
              <w14:schemeClr w14:val="tx1"/>
            </w14:solidFill>
          </w14:textFill>
        </w:rPr>
        <w:t>实行事前报备、事后总结双报备</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p>
    <w:p w14:paraId="414EF25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（一）事前报备：</w:t>
      </w:r>
      <w:r>
        <w:rPr>
          <w:rFonts w:hint="default" w:ascii="Times New Roman" w:hAnsi="Times New Roman" w:eastAsia="方正仿宋_GBK" w:cs="Times New Roman"/>
          <w:color w:val="000000" w:themeColor="text1"/>
          <w:sz w:val="32"/>
          <w:szCs w:val="32"/>
          <w14:textFill>
            <w14:solidFill>
              <w14:schemeClr w14:val="tx1"/>
            </w14:solidFill>
          </w14:textFill>
        </w:rPr>
        <w:t>活动举办7个工作日前提交</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活动</w:t>
      </w:r>
      <w:r>
        <w:rPr>
          <w:rFonts w:hint="default" w:ascii="Times New Roman" w:hAnsi="Times New Roman" w:eastAsia="方正仿宋_GBK" w:cs="Times New Roman"/>
          <w:color w:val="000000" w:themeColor="text1"/>
          <w:sz w:val="32"/>
          <w:szCs w:val="32"/>
          <w14:textFill>
            <w14:solidFill>
              <w14:schemeClr w14:val="tx1"/>
            </w14:solidFill>
          </w14:textFill>
        </w:rPr>
        <w:t>方案、议程、经费预算、合作单位</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等相关材料至协会秘书处，协会秘书处审核通过后方可开展活动；</w:t>
      </w:r>
    </w:p>
    <w:p w14:paraId="3807ED0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二</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事后总结</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活动结束</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3日内提交宣传文案和影像资料，</w:t>
      </w:r>
      <w:r>
        <w:rPr>
          <w:rFonts w:hint="default" w:ascii="Times New Roman" w:hAnsi="Times New Roman" w:eastAsia="方正仿宋_GBK" w:cs="Times New Roman"/>
          <w:color w:val="000000" w:themeColor="text1"/>
          <w:sz w:val="32"/>
          <w:szCs w:val="32"/>
          <w14:textFill>
            <w14:solidFill>
              <w14:schemeClr w14:val="tx1"/>
            </w14:solidFill>
          </w14:textFill>
        </w:rPr>
        <w:t>10日内提交总结、签到表</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等</w:t>
      </w:r>
      <w:r>
        <w:rPr>
          <w:rFonts w:hint="default" w:ascii="Times New Roman" w:hAnsi="Times New Roman" w:eastAsia="方正仿宋_GBK" w:cs="Times New Roman"/>
          <w:color w:val="000000" w:themeColor="text1"/>
          <w:sz w:val="32"/>
          <w:szCs w:val="32"/>
          <w14:textFill>
            <w14:solidFill>
              <w14:schemeClr w14:val="tx1"/>
            </w14:solidFill>
          </w14:textFill>
        </w:rPr>
        <w:t>现场资料归档至</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协会</w:t>
      </w:r>
      <w:r>
        <w:rPr>
          <w:rFonts w:hint="default" w:ascii="Times New Roman" w:hAnsi="Times New Roman" w:eastAsia="方正仿宋_GBK" w:cs="Times New Roman"/>
          <w:color w:val="000000" w:themeColor="text1"/>
          <w:sz w:val="32"/>
          <w:szCs w:val="32"/>
          <w14:textFill>
            <w14:solidFill>
              <w14:schemeClr w14:val="tx1"/>
            </w14:solidFill>
          </w14:textFill>
        </w:rPr>
        <w:t>秘书处。</w:t>
      </w:r>
    </w:p>
    <w:p w14:paraId="06A0AC64">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第二十</w:t>
      </w: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二</w:t>
      </w:r>
      <w:r>
        <w:rPr>
          <w:rFonts w:hint="default" w:ascii="Times New Roman" w:hAnsi="Times New Roman" w:eastAsia="方正仿宋_GBK" w:cs="Times New Roman"/>
          <w:b/>
          <w:bCs/>
          <w:color w:val="000000" w:themeColor="text1"/>
          <w:sz w:val="32"/>
          <w:szCs w:val="32"/>
          <w14:textFill>
            <w14:solidFill>
              <w14:schemeClr w14:val="tx1"/>
            </w14:solidFill>
          </w14:textFill>
        </w:rPr>
        <w:t>条</w:t>
      </w:r>
      <w:r>
        <w:rPr>
          <w:rFonts w:hint="default" w:ascii="Times New Roman" w:hAnsi="Times New Roman" w:eastAsia="方正仿宋_GBK" w:cs="Times New Roman"/>
          <w:color w:val="000000" w:themeColor="text1"/>
          <w:sz w:val="32"/>
          <w:szCs w:val="32"/>
          <w14:textFill>
            <w14:solidFill>
              <w14:schemeClr w14:val="tx1"/>
            </w14:solidFill>
          </w14:textFill>
        </w:rPr>
        <w:t>　分支机构开展活动不得有以下行为：</w:t>
      </w:r>
    </w:p>
    <w:p w14:paraId="703B7F3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（一）超出</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协会《章程》</w:t>
      </w:r>
      <w:r>
        <w:rPr>
          <w:rFonts w:hint="default" w:ascii="Times New Roman" w:hAnsi="Times New Roman" w:eastAsia="方正仿宋_GBK" w:cs="Times New Roman"/>
          <w:color w:val="000000" w:themeColor="text1"/>
          <w:sz w:val="32"/>
          <w:szCs w:val="32"/>
          <w14:textFill>
            <w14:solidFill>
              <w14:schemeClr w14:val="tx1"/>
            </w14:solidFill>
          </w14:textFill>
        </w:rPr>
        <w:t>规定的宗旨和业务范围开展活动</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跨授权范围开展经营性、商业中介业务；</w:t>
      </w:r>
    </w:p>
    <w:p w14:paraId="758D184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（二）将自身业务活动委托给</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协会</w:t>
      </w:r>
      <w:r>
        <w:rPr>
          <w:rFonts w:hint="default" w:ascii="Times New Roman" w:hAnsi="Times New Roman" w:eastAsia="方正仿宋_GBK" w:cs="Times New Roman"/>
          <w:color w:val="000000" w:themeColor="text1"/>
          <w:sz w:val="32"/>
          <w:szCs w:val="32"/>
          <w14:textFill>
            <w14:solidFill>
              <w14:schemeClr w14:val="tx1"/>
            </w14:solidFill>
          </w14:textFill>
        </w:rPr>
        <w:t>或者分支机构负责人直接利益相关的组织或者个人承办</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与非法社会组织联合举办活动、共建平台；</w:t>
      </w:r>
    </w:p>
    <w:p w14:paraId="61B16EC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Times New Roman"/>
          <w:color w:val="000000" w:themeColor="text1"/>
          <w:sz w:val="32"/>
          <w:szCs w:val="32"/>
          <w:lang w:eastAsia="zh-CN"/>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（三）违规或者变相违规收费</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私设收费项目、违规举办营利性培训、强制摊派费用；</w:t>
      </w:r>
    </w:p>
    <w:p w14:paraId="51CA533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（四）将举办各类活动所取得的收入转移或者变相转移进入其他组织和个人账户；</w:t>
      </w:r>
    </w:p>
    <w:p w14:paraId="2E722C5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（五）未经授权或者批准，以行业管理部门</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协会</w:t>
      </w:r>
      <w:r>
        <w:rPr>
          <w:rFonts w:hint="default" w:ascii="Times New Roman" w:hAnsi="Times New Roman" w:eastAsia="方正仿宋_GBK" w:cs="Times New Roman"/>
          <w:color w:val="000000" w:themeColor="text1"/>
          <w:sz w:val="32"/>
          <w:szCs w:val="32"/>
          <w14:textFill>
            <w14:solidFill>
              <w14:schemeClr w14:val="tx1"/>
            </w14:solidFill>
          </w14:textFill>
        </w:rPr>
        <w:t>等名义开展活动；</w:t>
      </w:r>
    </w:p>
    <w:p w14:paraId="1E636A9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Times New Roman"/>
          <w:color w:val="000000" w:themeColor="text1"/>
          <w:sz w:val="32"/>
          <w:szCs w:val="32"/>
          <w:lang w:eastAsia="zh-CN"/>
          <w14:textFill>
            <w14:solidFill>
              <w14:schemeClr w14:val="tx1"/>
            </w14:solidFill>
          </w14:textFill>
        </w:rPr>
      </w:pP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六</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以分支机构名义私自对外签约、融资、担保、借款；</w:t>
      </w:r>
    </w:p>
    <w:p w14:paraId="694C2A3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（六）违反国家有关规定的其他行为。</w:t>
      </w:r>
    </w:p>
    <w:p w14:paraId="7484126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分支机构超出授权范围开展活动，使</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协会</w:t>
      </w:r>
      <w:r>
        <w:rPr>
          <w:rFonts w:hint="default" w:ascii="Times New Roman" w:hAnsi="Times New Roman" w:eastAsia="方正仿宋_GBK" w:cs="Times New Roman"/>
          <w:color w:val="000000" w:themeColor="text1"/>
          <w:sz w:val="32"/>
          <w:szCs w:val="32"/>
          <w14:textFill>
            <w14:solidFill>
              <w14:schemeClr w14:val="tx1"/>
            </w14:solidFill>
          </w14:textFill>
        </w:rPr>
        <w:t>遭受经济损失或者承担法律责任的，</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协会</w:t>
      </w:r>
      <w:r>
        <w:rPr>
          <w:rFonts w:hint="default" w:ascii="Times New Roman" w:hAnsi="Times New Roman" w:eastAsia="方正仿宋_GBK" w:cs="Times New Roman"/>
          <w:color w:val="000000" w:themeColor="text1"/>
          <w:sz w:val="32"/>
          <w:szCs w:val="32"/>
          <w14:textFill>
            <w14:solidFill>
              <w14:schemeClr w14:val="tx1"/>
            </w14:solidFill>
          </w14:textFill>
        </w:rPr>
        <w:t>可以依法追究相关责任人的责任。</w:t>
      </w:r>
    </w:p>
    <w:p w14:paraId="6576961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p>
    <w:p w14:paraId="70BA5EA9">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第五章　财务管理</w:t>
      </w:r>
    </w:p>
    <w:p w14:paraId="5A6602DC">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第二十</w:t>
      </w: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三</w:t>
      </w:r>
      <w:r>
        <w:rPr>
          <w:rFonts w:hint="default" w:ascii="Times New Roman" w:hAnsi="Times New Roman" w:eastAsia="方正仿宋_GBK" w:cs="Times New Roman"/>
          <w:b/>
          <w:bCs/>
          <w:color w:val="000000" w:themeColor="text1"/>
          <w:sz w:val="32"/>
          <w:szCs w:val="32"/>
          <w14:textFill>
            <w14:solidFill>
              <w14:schemeClr w14:val="tx1"/>
            </w14:solidFill>
          </w14:textFill>
        </w:rPr>
        <w:t>条</w:t>
      </w:r>
      <w:r>
        <w:rPr>
          <w:rFonts w:hint="default" w:ascii="Times New Roman" w:hAnsi="Times New Roman" w:eastAsia="方正仿宋_GBK" w:cs="Times New Roman"/>
          <w:color w:val="000000" w:themeColor="text1"/>
          <w:sz w:val="32"/>
          <w:szCs w:val="32"/>
          <w14:textFill>
            <w14:solidFill>
              <w14:schemeClr w14:val="tx1"/>
            </w14:solidFill>
          </w14:textFill>
        </w:rPr>
        <w:t>　分支机构不得开设银行账户，全部收支纳入协会财务统一核算管理</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，不得计入其他单位、组织或者个人账户</w:t>
      </w:r>
      <w:r>
        <w:rPr>
          <w:rFonts w:hint="default" w:ascii="Times New Roman" w:hAnsi="Times New Roman" w:eastAsia="方正仿宋_GBK" w:cs="Times New Roman"/>
          <w:color w:val="000000" w:themeColor="text1"/>
          <w:sz w:val="32"/>
          <w:szCs w:val="32"/>
          <w14:textFill>
            <w14:solidFill>
              <w14:schemeClr w14:val="tx1"/>
            </w14:solidFill>
          </w14:textFill>
        </w:rPr>
        <w:t>。</w:t>
      </w:r>
    </w:p>
    <w:p w14:paraId="15C08648">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第二十</w:t>
      </w: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四</w:t>
      </w:r>
      <w:r>
        <w:rPr>
          <w:rFonts w:hint="default" w:ascii="Times New Roman" w:hAnsi="Times New Roman" w:eastAsia="方正仿宋_GBK" w:cs="Times New Roman"/>
          <w:b/>
          <w:bCs/>
          <w:color w:val="000000" w:themeColor="text1"/>
          <w:sz w:val="32"/>
          <w:szCs w:val="32"/>
          <w14:textFill>
            <w14:solidFill>
              <w14:schemeClr w14:val="tx1"/>
            </w14:solidFill>
          </w14:textFill>
        </w:rPr>
        <w:t>条</w:t>
      </w:r>
      <w:r>
        <w:rPr>
          <w:rFonts w:hint="default" w:ascii="Times New Roman" w:hAnsi="Times New Roman" w:eastAsia="方正仿宋_GBK" w:cs="Times New Roman"/>
          <w:color w:val="000000" w:themeColor="text1"/>
          <w:sz w:val="32"/>
          <w:szCs w:val="32"/>
          <w14:textFill>
            <w14:solidFill>
              <w14:schemeClr w14:val="tx1"/>
            </w14:solidFill>
          </w14:textFill>
        </w:rPr>
        <w:t>　分支机构的经费来源包括：</w:t>
      </w:r>
    </w:p>
    <w:p w14:paraId="1293BA4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（一）在核准的业务范围内开展活动或服务的收入；</w:t>
      </w:r>
    </w:p>
    <w:p w14:paraId="39ACB63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（二）政府资助；</w:t>
      </w:r>
    </w:p>
    <w:p w14:paraId="5197FD6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（三）单位和个人资助或捐赠；</w:t>
      </w:r>
    </w:p>
    <w:p w14:paraId="50197CB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（四）协会拨付的经费；</w:t>
      </w:r>
    </w:p>
    <w:p w14:paraId="10CDD66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（五）其他合法收入。</w:t>
      </w:r>
    </w:p>
    <w:p w14:paraId="581821B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分支机构应当根据</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协会</w:t>
      </w:r>
      <w:r>
        <w:rPr>
          <w:rFonts w:hint="default" w:ascii="Times New Roman" w:hAnsi="Times New Roman" w:eastAsia="方正仿宋_GBK" w:cs="Times New Roman"/>
          <w:color w:val="000000" w:themeColor="text1"/>
          <w:sz w:val="32"/>
          <w:szCs w:val="32"/>
          <w14:textFill>
            <w14:solidFill>
              <w14:schemeClr w14:val="tx1"/>
            </w14:solidFill>
          </w14:textFill>
        </w:rPr>
        <w:t>的授权接受捐赠，不得擅自签订捐赠协议，不得擅自改变受赠财产的用途，不得私分、挪用、截留或者侵占受赠财产。</w:t>
      </w:r>
    </w:p>
    <w:p w14:paraId="17EF484C">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第二十</w:t>
      </w: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五</w:t>
      </w:r>
      <w:r>
        <w:rPr>
          <w:rFonts w:hint="default" w:ascii="Times New Roman" w:hAnsi="Times New Roman" w:eastAsia="方正仿宋_GBK" w:cs="Times New Roman"/>
          <w:b/>
          <w:bCs/>
          <w:color w:val="000000" w:themeColor="text1"/>
          <w:sz w:val="32"/>
          <w:szCs w:val="32"/>
          <w14:textFill>
            <w14:solidFill>
              <w14:schemeClr w14:val="tx1"/>
            </w14:solidFill>
          </w14:textFill>
        </w:rPr>
        <w:t>条</w:t>
      </w:r>
      <w:r>
        <w:rPr>
          <w:rFonts w:hint="default" w:ascii="Times New Roman" w:hAnsi="Times New Roman" w:eastAsia="方正仿宋_GBK" w:cs="Times New Roman"/>
          <w:color w:val="000000" w:themeColor="text1"/>
          <w:sz w:val="32"/>
          <w:szCs w:val="32"/>
          <w14:textFill>
            <w14:solidFill>
              <w14:schemeClr w14:val="tx1"/>
            </w14:solidFill>
          </w14:textFill>
        </w:rPr>
        <w:t>　分支机构活动经费实行项目预算制，活动支出从协会统一账户列支，凭正规发票报销，由协会财务统一记账、出具票据</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p>
    <w:p w14:paraId="09140D49">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第二十</w:t>
      </w: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六</w:t>
      </w:r>
      <w:r>
        <w:rPr>
          <w:rFonts w:hint="default" w:ascii="Times New Roman" w:hAnsi="Times New Roman" w:eastAsia="方正仿宋_GBK" w:cs="Times New Roman"/>
          <w:b/>
          <w:bCs/>
          <w:color w:val="000000" w:themeColor="text1"/>
          <w:sz w:val="32"/>
          <w:szCs w:val="32"/>
          <w14:textFill>
            <w14:solidFill>
              <w14:schemeClr w14:val="tx1"/>
            </w14:solidFill>
          </w14:textFill>
        </w:rPr>
        <w:t>条</w:t>
      </w:r>
      <w:r>
        <w:rPr>
          <w:rFonts w:hint="default" w:ascii="Times New Roman" w:hAnsi="Times New Roman" w:eastAsia="方正仿宋_GBK" w:cs="Times New Roman"/>
          <w:color w:val="000000" w:themeColor="text1"/>
          <w:sz w:val="32"/>
          <w:szCs w:val="32"/>
          <w14:textFill>
            <w14:solidFill>
              <w14:schemeClr w14:val="tx1"/>
            </w14:solidFill>
          </w14:textFill>
        </w:rPr>
        <w:t>　分支机构应于每年年底前向协会秘书处提交下一年度活动计划和经费预算，经协会审核批准后执行。分支机构的各项支出应严格按照协会财务管理制度履行审批程序。</w:t>
      </w:r>
    </w:p>
    <w:p w14:paraId="236612B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p>
    <w:p w14:paraId="0932E314">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第六章　印章管理</w:t>
      </w:r>
    </w:p>
    <w:p w14:paraId="7C7F77A7">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第二十</w:t>
      </w: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七</w:t>
      </w:r>
      <w:r>
        <w:rPr>
          <w:rFonts w:hint="default" w:ascii="Times New Roman" w:hAnsi="Times New Roman" w:eastAsia="方正仿宋_GBK" w:cs="Times New Roman"/>
          <w:b/>
          <w:bCs/>
          <w:color w:val="000000" w:themeColor="text1"/>
          <w:sz w:val="32"/>
          <w:szCs w:val="32"/>
          <w14:textFill>
            <w14:solidFill>
              <w14:schemeClr w14:val="tx1"/>
            </w14:solidFill>
          </w14:textFill>
        </w:rPr>
        <w:t>条</w:t>
      </w:r>
      <w:r>
        <w:rPr>
          <w:rFonts w:hint="default" w:ascii="Times New Roman" w:hAnsi="Times New Roman" w:eastAsia="方正仿宋_GBK" w:cs="Times New Roman"/>
          <w:color w:val="000000" w:themeColor="text1"/>
          <w:sz w:val="32"/>
          <w:szCs w:val="32"/>
          <w14:textFill>
            <w14:solidFill>
              <w14:schemeClr w14:val="tx1"/>
            </w14:solidFill>
          </w14:textFill>
        </w:rPr>
        <w:t>　分支机构不得自行刻制印章。分支机构开展活动</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需</w:t>
      </w:r>
      <w:r>
        <w:rPr>
          <w:rFonts w:hint="default" w:ascii="Times New Roman" w:hAnsi="Times New Roman" w:eastAsia="方正仿宋_GBK" w:cs="Times New Roman"/>
          <w:color w:val="000000" w:themeColor="text1"/>
          <w:sz w:val="32"/>
          <w:szCs w:val="32"/>
          <w14:textFill>
            <w14:solidFill>
              <w14:schemeClr w14:val="tx1"/>
            </w14:solidFill>
          </w14:textFill>
        </w:rPr>
        <w:t>使用</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协会</w:t>
      </w:r>
      <w:r>
        <w:rPr>
          <w:rFonts w:hint="default" w:ascii="Times New Roman" w:hAnsi="Times New Roman" w:eastAsia="方正仿宋_GBK" w:cs="Times New Roman"/>
          <w:color w:val="000000" w:themeColor="text1"/>
          <w:sz w:val="32"/>
          <w:szCs w:val="32"/>
          <w14:textFill>
            <w14:solidFill>
              <w14:schemeClr w14:val="tx1"/>
            </w14:solidFill>
          </w14:textFill>
        </w:rPr>
        <w:t>印章</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的</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应当按协会规定办理审批手续，并按要求填写和妥善保存用印登记表。</w:t>
      </w:r>
    </w:p>
    <w:p w14:paraId="6A3BB5AD">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第二十</w:t>
      </w: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八</w:t>
      </w:r>
      <w:r>
        <w:rPr>
          <w:rFonts w:hint="default" w:ascii="Times New Roman" w:hAnsi="Times New Roman" w:eastAsia="方正仿宋_GBK" w:cs="Times New Roman"/>
          <w:b/>
          <w:bCs/>
          <w:color w:val="000000" w:themeColor="text1"/>
          <w:sz w:val="32"/>
          <w:szCs w:val="32"/>
          <w14:textFill>
            <w14:solidFill>
              <w14:schemeClr w14:val="tx1"/>
            </w14:solidFill>
          </w14:textFill>
        </w:rPr>
        <w:t>条</w:t>
      </w:r>
      <w:r>
        <w:rPr>
          <w:rFonts w:hint="default" w:ascii="Times New Roman" w:hAnsi="Times New Roman" w:eastAsia="方正仿宋_GBK" w:cs="Times New Roman"/>
          <w:color w:val="000000" w:themeColor="text1"/>
          <w:sz w:val="32"/>
          <w:szCs w:val="32"/>
          <w14:textFill>
            <w14:solidFill>
              <w14:schemeClr w14:val="tx1"/>
            </w14:solidFill>
          </w14:textFill>
        </w:rPr>
        <w:t>　分支机构违反规定自行刻制或使用印章的，由协会予以收回并追究相关责任人的责任。</w:t>
      </w:r>
    </w:p>
    <w:p w14:paraId="5AC15126">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p>
    <w:p w14:paraId="0AB8CA44">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仿宋_GBK" w:cs="Times New Roman"/>
          <w:b/>
          <w:bCs/>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第七章　监督与管理</w:t>
      </w:r>
    </w:p>
    <w:p w14:paraId="12D148DB">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第二十</w:t>
      </w: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九</w:t>
      </w:r>
      <w:r>
        <w:rPr>
          <w:rFonts w:hint="default" w:ascii="Times New Roman" w:hAnsi="Times New Roman" w:eastAsia="方正仿宋_GBK" w:cs="Times New Roman"/>
          <w:b/>
          <w:bCs/>
          <w:color w:val="000000" w:themeColor="text1"/>
          <w:sz w:val="32"/>
          <w:szCs w:val="32"/>
          <w14:textFill>
            <w14:solidFill>
              <w14:schemeClr w14:val="tx1"/>
            </w14:solidFill>
          </w14:textFill>
        </w:rPr>
        <w:t>条</w:t>
      </w:r>
      <w:r>
        <w:rPr>
          <w:rFonts w:hint="default" w:ascii="Times New Roman" w:hAnsi="Times New Roman" w:eastAsia="方正仿宋_GBK" w:cs="Times New Roman"/>
          <w:color w:val="000000" w:themeColor="text1"/>
          <w:sz w:val="32"/>
          <w:szCs w:val="32"/>
          <w14:textFill>
            <w14:solidFill>
              <w14:schemeClr w14:val="tx1"/>
            </w14:solidFill>
          </w14:textFill>
        </w:rPr>
        <w:t>　协会秘书处负责分支机构的日常联系、管理和服务工作，配备相应的力量具体承担分支机构的管理、服务工作。应当根据分支机构工作开展情况，在经费、人员、办公场所等方面予以支持。</w:t>
      </w:r>
    </w:p>
    <w:p w14:paraId="28DDC3B9">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w:t>
      </w: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三十</w:t>
      </w:r>
      <w:r>
        <w:rPr>
          <w:rFonts w:hint="default" w:ascii="Times New Roman" w:hAnsi="Times New Roman" w:eastAsia="方正仿宋_GBK" w:cs="Times New Roman"/>
          <w:b/>
          <w:bCs/>
          <w:color w:val="000000" w:themeColor="text1"/>
          <w:sz w:val="32"/>
          <w:szCs w:val="32"/>
          <w14:textFill>
            <w14:solidFill>
              <w14:schemeClr w14:val="tx1"/>
            </w14:solidFill>
          </w14:textFill>
        </w:rPr>
        <w:t>条</w:t>
      </w:r>
      <w:r>
        <w:rPr>
          <w:rFonts w:hint="default" w:ascii="Times New Roman" w:hAnsi="Times New Roman" w:eastAsia="方正仿宋_GBK" w:cs="Times New Roman"/>
          <w:color w:val="000000" w:themeColor="text1"/>
          <w:sz w:val="32"/>
          <w:szCs w:val="32"/>
          <w14:textFill>
            <w14:solidFill>
              <w14:schemeClr w14:val="tx1"/>
            </w14:solidFill>
          </w14:textFill>
        </w:rPr>
        <w:t>　协会应当加强对分支机构的考核评价和内部监督。分支机构应当于每</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年中、年末分别</w:t>
      </w:r>
      <w:r>
        <w:rPr>
          <w:rFonts w:hint="default" w:ascii="Times New Roman" w:hAnsi="Times New Roman" w:eastAsia="方正仿宋_GBK" w:cs="Times New Roman"/>
          <w:color w:val="000000" w:themeColor="text1"/>
          <w:sz w:val="32"/>
          <w:szCs w:val="32"/>
          <w14:textFill>
            <w14:solidFill>
              <w14:schemeClr w14:val="tx1"/>
            </w14:solidFill>
          </w14:textFill>
        </w:rPr>
        <w:t>向协会秘书处报送</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阶段</w:t>
      </w:r>
      <w:r>
        <w:rPr>
          <w:rFonts w:hint="default" w:ascii="Times New Roman" w:hAnsi="Times New Roman" w:eastAsia="方正仿宋_GBK" w:cs="Times New Roman"/>
          <w:color w:val="000000" w:themeColor="text1"/>
          <w:sz w:val="32"/>
          <w:szCs w:val="32"/>
          <w14:textFill>
            <w14:solidFill>
              <w14:schemeClr w14:val="tx1"/>
            </w14:solidFill>
          </w14:textFill>
        </w:rPr>
        <w:t>工作总结和工作计划。</w:t>
      </w:r>
    </w:p>
    <w:p w14:paraId="37608192">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w:t>
      </w: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三十一</w:t>
      </w:r>
      <w:r>
        <w:rPr>
          <w:rFonts w:hint="default" w:ascii="Times New Roman" w:hAnsi="Times New Roman" w:eastAsia="方正仿宋_GBK" w:cs="Times New Roman"/>
          <w:b/>
          <w:bCs/>
          <w:color w:val="000000" w:themeColor="text1"/>
          <w:sz w:val="32"/>
          <w:szCs w:val="32"/>
          <w14:textFill>
            <w14:solidFill>
              <w14:schemeClr w14:val="tx1"/>
            </w14:solidFill>
          </w14:textFill>
        </w:rPr>
        <w:t>条</w:t>
      </w:r>
      <w:r>
        <w:rPr>
          <w:rFonts w:hint="default" w:ascii="Times New Roman" w:hAnsi="Times New Roman" w:eastAsia="方正仿宋_GBK" w:cs="Times New Roman"/>
          <w:color w:val="000000" w:themeColor="text1"/>
          <w:sz w:val="32"/>
          <w:szCs w:val="32"/>
          <w14:textFill>
            <w14:solidFill>
              <w14:schemeClr w14:val="tx1"/>
            </w14:solidFill>
          </w14:textFill>
        </w:rPr>
        <w:t>　</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协会</w:t>
      </w:r>
      <w:r>
        <w:rPr>
          <w:rFonts w:hint="default" w:ascii="Times New Roman" w:hAnsi="Times New Roman" w:eastAsia="方正仿宋_GBK" w:cs="Times New Roman"/>
          <w:color w:val="000000" w:themeColor="text1"/>
          <w:sz w:val="32"/>
          <w:szCs w:val="32"/>
          <w14:textFill>
            <w14:solidFill>
              <w14:schemeClr w14:val="tx1"/>
            </w14:solidFill>
          </w14:textFill>
        </w:rPr>
        <w:t>监事或者监事会应当对分支机构设立、名称变更和撤销情况，以及负责人履职、业务活动开展、接受捐赠和受赠财产管理使用、财务收支等情况进行监督。</w:t>
      </w:r>
    </w:p>
    <w:p w14:paraId="7FF0ABA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p>
    <w:p w14:paraId="1F55F76E">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第八章　附　则</w:t>
      </w:r>
    </w:p>
    <w:p w14:paraId="53D3C707">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w:t>
      </w: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三十二</w:t>
      </w:r>
      <w:r>
        <w:rPr>
          <w:rFonts w:hint="default" w:ascii="Times New Roman" w:hAnsi="Times New Roman" w:eastAsia="方正仿宋_GBK" w:cs="Times New Roman"/>
          <w:b/>
          <w:bCs/>
          <w:color w:val="000000" w:themeColor="text1"/>
          <w:sz w:val="32"/>
          <w:szCs w:val="32"/>
          <w14:textFill>
            <w14:solidFill>
              <w14:schemeClr w14:val="tx1"/>
            </w14:solidFill>
          </w14:textFill>
        </w:rPr>
        <w:t>条</w:t>
      </w:r>
      <w:r>
        <w:rPr>
          <w:rFonts w:hint="default" w:ascii="Times New Roman" w:hAnsi="Times New Roman" w:eastAsia="方正仿宋_GBK" w:cs="Times New Roman"/>
          <w:color w:val="000000" w:themeColor="text1"/>
          <w:sz w:val="32"/>
          <w:szCs w:val="32"/>
          <w14:textFill>
            <w14:solidFill>
              <w14:schemeClr w14:val="tx1"/>
            </w14:solidFill>
          </w14:textFill>
        </w:rPr>
        <w:t>　本办法由协会理事会（常务理事会）审议通过后生效。</w:t>
      </w:r>
    </w:p>
    <w:p w14:paraId="016F6659">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第三十</w:t>
      </w: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三</w:t>
      </w:r>
      <w:r>
        <w:rPr>
          <w:rFonts w:hint="default" w:ascii="Times New Roman" w:hAnsi="Times New Roman" w:eastAsia="方正仿宋_GBK" w:cs="Times New Roman"/>
          <w:b/>
          <w:bCs/>
          <w:color w:val="000000" w:themeColor="text1"/>
          <w:sz w:val="32"/>
          <w:szCs w:val="32"/>
          <w14:textFill>
            <w14:solidFill>
              <w14:schemeClr w14:val="tx1"/>
            </w14:solidFill>
          </w14:textFill>
        </w:rPr>
        <w:t>条</w:t>
      </w:r>
      <w:r>
        <w:rPr>
          <w:rFonts w:hint="default" w:ascii="Times New Roman" w:hAnsi="Times New Roman" w:eastAsia="方正仿宋_GBK" w:cs="Times New Roman"/>
          <w:color w:val="000000" w:themeColor="text1"/>
          <w:sz w:val="32"/>
          <w:szCs w:val="32"/>
          <w14:textFill>
            <w14:solidFill>
              <w14:schemeClr w14:val="tx1"/>
            </w14:solidFill>
          </w14:textFill>
        </w:rPr>
        <w:t>　本办法由协会秘书处负责解释。</w:t>
      </w:r>
    </w:p>
    <w:p w14:paraId="6C093F5D">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第三十</w:t>
      </w: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四</w:t>
      </w:r>
      <w:r>
        <w:rPr>
          <w:rFonts w:hint="default" w:ascii="Times New Roman" w:hAnsi="Times New Roman" w:eastAsia="方正仿宋_GBK" w:cs="Times New Roman"/>
          <w:color w:val="000000" w:themeColor="text1"/>
          <w:sz w:val="32"/>
          <w:szCs w:val="32"/>
          <w14:textFill>
            <w14:solidFill>
              <w14:schemeClr w14:val="tx1"/>
            </w14:solidFill>
          </w14:textFill>
        </w:rPr>
        <w:t>条　本办法如与国家法律法规及民政部有关规定不一致的，以国家法律法规及民政部有关规定为准。</w:t>
      </w:r>
    </w:p>
    <w:p w14:paraId="342AA987">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b/>
          <w:bCs/>
          <w:color w:val="000000" w:themeColor="text1"/>
          <w:sz w:val="32"/>
          <w:szCs w:val="32"/>
          <w14:textFill>
            <w14:solidFill>
              <w14:schemeClr w14:val="tx1"/>
            </w14:solidFill>
          </w14:textFill>
        </w:rPr>
        <w:t>第三十</w:t>
      </w: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五</w:t>
      </w:r>
      <w:r>
        <w:rPr>
          <w:rFonts w:hint="default" w:ascii="Times New Roman" w:hAnsi="Times New Roman" w:eastAsia="方正仿宋_GBK" w:cs="Times New Roman"/>
          <w:b/>
          <w:bCs/>
          <w:color w:val="000000" w:themeColor="text1"/>
          <w:sz w:val="32"/>
          <w:szCs w:val="32"/>
          <w14:textFill>
            <w14:solidFill>
              <w14:schemeClr w14:val="tx1"/>
            </w14:solidFill>
          </w14:textFill>
        </w:rPr>
        <w:t>条</w:t>
      </w:r>
      <w:r>
        <w:rPr>
          <w:rFonts w:hint="default" w:ascii="Times New Roman" w:hAnsi="Times New Roman" w:eastAsia="方正仿宋_GBK" w:cs="Times New Roman"/>
          <w:color w:val="000000" w:themeColor="text1"/>
          <w:sz w:val="32"/>
          <w:szCs w:val="32"/>
          <w14:textFill>
            <w14:solidFill>
              <w14:schemeClr w14:val="tx1"/>
            </w14:solidFill>
          </w14:textFill>
        </w:rPr>
        <w:t>　本办法自发布之日起施行。此前协会有关分支机构管理的规定与本办法不一致的，以本办法为准。</w:t>
      </w:r>
    </w:p>
    <w:p w14:paraId="76018897">
      <w:pPr>
        <w:keepNext w:val="0"/>
        <w:keepLines w:val="0"/>
        <w:pageBreakBefore w:val="0"/>
        <w:widowControl w:val="0"/>
        <w:kinsoku/>
        <w:wordWrap/>
        <w:overflowPunct/>
        <w:topLinePunct w:val="0"/>
        <w:autoSpaceDE/>
        <w:autoSpaceDN/>
        <w:bidi w:val="0"/>
        <w:adjustRightInd/>
        <w:snapToGrid/>
        <w:spacing w:line="590" w:lineRule="exact"/>
        <w:ind w:firstLine="560" w:firstLineChars="200"/>
        <w:textAlignment w:val="auto"/>
        <w:rPr>
          <w:rFonts w:hint="default" w:ascii="Times New Roman" w:hAnsi="Times New Roman" w:eastAsia="方正仿宋_GBK" w:cs="Times New Roman"/>
          <w:color w:val="000000" w:themeColor="text1"/>
          <w:sz w:val="28"/>
          <w:szCs w:val="28"/>
          <w14:textFill>
            <w14:solidFill>
              <w14:schemeClr w14:val="tx1"/>
            </w14:solidFill>
          </w14:textFill>
        </w:rPr>
      </w:pPr>
    </w:p>
    <w:p w14:paraId="658D48CC">
      <w:pPr>
        <w:keepNext w:val="0"/>
        <w:keepLines w:val="0"/>
        <w:pageBreakBefore w:val="0"/>
        <w:widowControl w:val="0"/>
        <w:kinsoku/>
        <w:wordWrap/>
        <w:overflowPunct/>
        <w:topLinePunct w:val="0"/>
        <w:autoSpaceDE/>
        <w:autoSpaceDN/>
        <w:bidi w:val="0"/>
        <w:adjustRightInd/>
        <w:snapToGrid/>
        <w:spacing w:line="590" w:lineRule="exact"/>
        <w:ind w:firstLine="560" w:firstLineChars="200"/>
        <w:textAlignment w:val="auto"/>
        <w:rPr>
          <w:rFonts w:hint="default" w:ascii="Times New Roman" w:hAnsi="Times New Roman" w:eastAsia="方正仿宋_GBK" w:cs="Times New Roman"/>
          <w:color w:val="000000" w:themeColor="text1"/>
          <w:sz w:val="28"/>
          <w:szCs w:val="28"/>
          <w14:textFill>
            <w14:solidFill>
              <w14:schemeClr w14:val="tx1"/>
            </w14:solidFill>
          </w14:textFill>
        </w:rPr>
      </w:pPr>
      <w:r>
        <w:rPr>
          <w:rFonts w:hint="default" w:ascii="Times New Roman" w:hAnsi="Times New Roman" w:eastAsia="方正仿宋_GBK" w:cs="Times New Roman"/>
          <w:color w:val="000000" w:themeColor="text1"/>
          <w:sz w:val="28"/>
          <w:szCs w:val="28"/>
          <w14:textFill>
            <w14:solidFill>
              <w14:schemeClr w14:val="tx1"/>
            </w14:solidFill>
          </w14:textFill>
        </w:rPr>
        <w:t>制定说明：本办法依据《社会团体分支机构、代表机构管理办法》（民政部令第85号，2026年8月1日施行）制定。该《办法》共29条，主要包括总则性规定，分支机构设立、名称变更和撤销的规定，分支机构活动准则的规定，社会团体管理主体责任的规定，登记管理机关监管职责的规定等内容。本办法结合勘察设计行业特点和广西勘察设计协会实际，对上述内容进行了细化和落实。</w:t>
      </w:r>
    </w:p>
    <w:sectPr>
      <w:footerReference r:id="rId3" w:type="default"/>
      <w:pgSz w:w="11906" w:h="16838"/>
      <w:pgMar w:top="1928" w:right="1417" w:bottom="1814" w:left="141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D827C77D-23E0-44D9-A314-3C2B232EFEE4}"/>
  </w:font>
  <w:font w:name="方正小标宋_GBK">
    <w:panose1 w:val="03000509000000000000"/>
    <w:charset w:val="86"/>
    <w:family w:val="auto"/>
    <w:pitch w:val="default"/>
    <w:sig w:usb0="00000001" w:usb1="080E0000" w:usb2="00000000" w:usb3="00000000" w:csb0="00040000" w:csb1="00000000"/>
    <w:embedRegular r:id="rId2" w:fontKey="{D77913C9-96FF-4AE8-B959-132F28DE5BC4}"/>
  </w:font>
  <w:font w:name="方正仿宋_GBK">
    <w:panose1 w:val="03000509000000000000"/>
    <w:charset w:val="86"/>
    <w:family w:val="script"/>
    <w:pitch w:val="default"/>
    <w:sig w:usb0="00000001" w:usb1="080E0000" w:usb2="00000000" w:usb3="00000000" w:csb0="00040000" w:csb1="00000000"/>
    <w:embedRegular r:id="rId3" w:fontKey="{EA576735-B274-4519-9E46-03CE1309D6A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FC67">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A71F73">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4A71F73">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03142D"/>
    <w:rsid w:val="01BD5744"/>
    <w:rsid w:val="05316490"/>
    <w:rsid w:val="056D13DD"/>
    <w:rsid w:val="061B4186"/>
    <w:rsid w:val="0E1409F6"/>
    <w:rsid w:val="1113130F"/>
    <w:rsid w:val="14D41D3A"/>
    <w:rsid w:val="1F203501"/>
    <w:rsid w:val="20967991"/>
    <w:rsid w:val="22347461"/>
    <w:rsid w:val="2503142D"/>
    <w:rsid w:val="2A58071C"/>
    <w:rsid w:val="2E7F69AC"/>
    <w:rsid w:val="395B7E7A"/>
    <w:rsid w:val="3C5660EB"/>
    <w:rsid w:val="3CA562E6"/>
    <w:rsid w:val="425C413F"/>
    <w:rsid w:val="425F59DD"/>
    <w:rsid w:val="47817291"/>
    <w:rsid w:val="4F265263"/>
    <w:rsid w:val="53C96CDA"/>
    <w:rsid w:val="5B4041A6"/>
    <w:rsid w:val="5FBB029F"/>
    <w:rsid w:val="640B6B19"/>
    <w:rsid w:val="6EBF3176"/>
    <w:rsid w:val="72A81E8E"/>
    <w:rsid w:val="77EB3293"/>
    <w:rsid w:val="7A1E1074"/>
    <w:rsid w:val="7AD150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7"/>
    <w:qFormat/>
    <w:uiPriority w:val="0"/>
    <w:pPr>
      <w:keepNext/>
      <w:keepLines/>
      <w:ind w:firstLine="640"/>
      <w:outlineLvl w:val="0"/>
    </w:pPr>
    <w:rPr>
      <w:rFonts w:ascii="Times New Roman" w:hAnsi="Times New Roman" w:eastAsia="黑体" w:cs="Times New Roman"/>
      <w:b/>
      <w:kern w:val="44"/>
      <w:sz w:val="32"/>
      <w:szCs w:val="20"/>
    </w:rPr>
  </w:style>
  <w:style w:type="character" w:default="1" w:styleId="6">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标题 1 字符"/>
    <w:basedOn w:val="6"/>
    <w:link w:val="2"/>
    <w:qFormat/>
    <w:uiPriority w:val="0"/>
    <w:rPr>
      <w:rFonts w:ascii="Times New Roman" w:hAnsi="Times New Roman" w:eastAsia="黑体" w:cs="Times New Roman"/>
      <w:b/>
      <w:kern w:val="44"/>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3895</Words>
  <Characters>3909</Characters>
  <Lines>0</Lines>
  <Paragraphs>0</Paragraphs>
  <TotalTime>947</TotalTime>
  <ScaleCrop>false</ScaleCrop>
  <LinksUpToDate>false</LinksUpToDate>
  <CharactersWithSpaces>3955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2026-07-08T01:04:00Z</dcterms:created>
  <dc:creator>徐小莉</dc:creator>
  <cp:lastModifiedBy>Y</cp:lastModifiedBy>
  <dcterms:modified xsi:type="dcterms:W3CDTF">2026-08-31T01:19:37Z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2F9E96ABF0984DE4B261AE5426A6C02A_13</vt:lpwstr>
  </property>
  <property fmtid="{D5CDD505-2E9C-101B-9397-08002B2CF9AE}" pid="4" name="KSOTemplateDocerSaveRecord">
    <vt:lpwstr>eyJoZGlkIjoiNjZkZTQ4NDdlMTUxYTIxMzg2ZTkyYTU2OTg0YjcwNzMiLCJ1c2VySWQiOiIyMTU3NzI5MjQifQ==</vt:lpwstr>
  </property>
</Properties>
</file>